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1EC10" w14:textId="77777777" w:rsidR="008C0118" w:rsidRDefault="008C0118" w:rsidP="008C0118">
      <w:pPr>
        <w:jc w:val="both"/>
        <w:rPr>
          <w:b/>
          <w:bCs/>
          <w:u w:val="single"/>
        </w:rPr>
      </w:pPr>
      <w:r w:rsidRPr="008C0118">
        <w:rPr>
          <w:b/>
          <w:bCs/>
          <w:u w:val="single"/>
        </w:rPr>
        <w:t>Toegangscontract – Artikel 11 aansprakelijkheid – Stakeholderoverleg 2 – 15/12/2020</w:t>
      </w:r>
    </w:p>
    <w:p w14:paraId="07646AC7" w14:textId="77777777" w:rsidR="008C0118" w:rsidRPr="008C0118" w:rsidRDefault="008C0118" w:rsidP="008C0118">
      <w:pPr>
        <w:jc w:val="both"/>
        <w:rPr>
          <w:b/>
          <w:bCs/>
          <w:u w:val="single"/>
        </w:rPr>
      </w:pPr>
    </w:p>
    <w:p w14:paraId="326117F4" w14:textId="77777777" w:rsidR="00B2378D" w:rsidRPr="00B2378D" w:rsidRDefault="00B2378D" w:rsidP="008C0118">
      <w:pPr>
        <w:jc w:val="both"/>
        <w:rPr>
          <w:b/>
          <w:bCs/>
        </w:rPr>
      </w:pPr>
      <w:r w:rsidRPr="00B2378D">
        <w:rPr>
          <w:b/>
          <w:bCs/>
        </w:rPr>
        <w:t>11.1 Wederzijdse volledige aansprakelijkheid in geval van opzet, bedrog of lichamelijke schade</w:t>
      </w:r>
    </w:p>
    <w:p w14:paraId="51E0C64E" w14:textId="77777777" w:rsidR="00B2378D" w:rsidRDefault="00B2378D" w:rsidP="008C0118">
      <w:pPr>
        <w:jc w:val="both"/>
      </w:pPr>
      <w:r w:rsidRPr="00B2378D">
        <w:t>De Partij die door haar bewezen opzet of bedrog schade veroorzaakt aan de andere Partij of die lichamelijke schade</w:t>
      </w:r>
      <w:r>
        <w:t xml:space="preserve"> </w:t>
      </w:r>
      <w:r w:rsidRPr="00B2378D">
        <w:t>veroorzaakt bij de andere Partij, is steeds volledig aansprakelijk voor de vergoeding van deze schade.</w:t>
      </w:r>
    </w:p>
    <w:p w14:paraId="37246FEF" w14:textId="77777777" w:rsidR="00B2378D" w:rsidRPr="00B2378D" w:rsidRDefault="00B2378D" w:rsidP="008C0118">
      <w:pPr>
        <w:jc w:val="both"/>
      </w:pPr>
    </w:p>
    <w:p w14:paraId="0BE6F640" w14:textId="77777777" w:rsidR="00B2378D" w:rsidRPr="00B2378D" w:rsidRDefault="00B2378D" w:rsidP="008C0118">
      <w:pPr>
        <w:jc w:val="both"/>
        <w:rPr>
          <w:b/>
          <w:bCs/>
        </w:rPr>
      </w:pPr>
      <w:r w:rsidRPr="00B2378D">
        <w:rPr>
          <w:b/>
          <w:bCs/>
        </w:rPr>
        <w:t>11.2 Wederzijdse algemene aansprakelijkheidsregeling in geval van zware fout/ zware nalatigheid</w:t>
      </w:r>
    </w:p>
    <w:p w14:paraId="3681A13C" w14:textId="77777777" w:rsidR="00B2378D" w:rsidRPr="00B2378D" w:rsidRDefault="00B2378D" w:rsidP="008C0118">
      <w:pPr>
        <w:jc w:val="both"/>
      </w:pPr>
      <w:r w:rsidRPr="00B2378D">
        <w:t>Onder de voorwaarden bepaald in onderhavig artikel 11.2, is een Partij aansprakelijk ten aanzien van de andere Partij</w:t>
      </w:r>
      <w:r>
        <w:t xml:space="preserve"> </w:t>
      </w:r>
      <w:r w:rsidRPr="00B2378D">
        <w:t>voor de schade die in oorzakelijk verband staat met een bewezen zware fout en/of zware nalatigheid in het kader van</w:t>
      </w:r>
      <w:r>
        <w:t xml:space="preserve"> </w:t>
      </w:r>
      <w:r w:rsidRPr="00B2378D">
        <w:t>het toegangscontract begaan door de eerstgenoemde Partij ten opzichte van de andere Partij.</w:t>
      </w:r>
    </w:p>
    <w:p w14:paraId="2613462D" w14:textId="77777777" w:rsidR="00B2378D" w:rsidRPr="00B2378D" w:rsidRDefault="00B2378D" w:rsidP="008C0118">
      <w:pPr>
        <w:jc w:val="both"/>
      </w:pPr>
      <w:r w:rsidRPr="00B2378D">
        <w:t>In voormelde gevallen is de aansprakelijkheid van de schadeveroorzakende Partij als volgt beperkt:</w:t>
      </w:r>
    </w:p>
    <w:p w14:paraId="4C77FBD9" w14:textId="77777777" w:rsidR="00B2378D" w:rsidRPr="00B2378D" w:rsidRDefault="00B2378D" w:rsidP="008C0118">
      <w:pPr>
        <w:pStyle w:val="Lijstalinea"/>
        <w:numPr>
          <w:ilvl w:val="0"/>
          <w:numId w:val="1"/>
        </w:numPr>
        <w:jc w:val="both"/>
      </w:pPr>
      <w:r w:rsidRPr="00B2378D">
        <w:t>enkel de rechtstreekse, voorzienbare en onmiddellijke schade die een Partij lijdt ten gevolge van een bewezen zware</w:t>
      </w:r>
      <w:r>
        <w:t xml:space="preserve"> </w:t>
      </w:r>
      <w:r w:rsidRPr="00B2378D">
        <w:t>fout of zware nalatigheid van de andere Partij, wordt vergoed. In ieder geval wordt indirecte schade waaronder</w:t>
      </w:r>
      <w:r>
        <w:t xml:space="preserve"> </w:t>
      </w:r>
      <w:r w:rsidRPr="00B2378D">
        <w:t>begrepen, maar niet hiertoe beperkt reputatieschade, winstderving, inkomstenverlies, gemiste besparingen of</w:t>
      </w:r>
      <w:r>
        <w:t xml:space="preserve"> </w:t>
      </w:r>
      <w:r w:rsidRPr="00B2378D">
        <w:t>schade van derden, niet vergoed; en</w:t>
      </w:r>
    </w:p>
    <w:p w14:paraId="320582F5" w14:textId="77777777" w:rsidR="00B2378D" w:rsidRDefault="00B2378D" w:rsidP="008C0118">
      <w:pPr>
        <w:pStyle w:val="Lijstalinea"/>
        <w:numPr>
          <w:ilvl w:val="0"/>
          <w:numId w:val="1"/>
        </w:numPr>
        <w:jc w:val="both"/>
      </w:pPr>
      <w:r w:rsidRPr="00B2378D">
        <w:t>de aansprakelijkheid van de schadeveroorzakende Partij wordt beperkt tot het bedrag van maximum ****** EUR</w:t>
      </w:r>
      <w:r>
        <w:t xml:space="preserve"> </w:t>
      </w:r>
      <w:r w:rsidRPr="00B2378D">
        <w:t>per schadegeval en per jaar, en ****** EUR per jaar voor het geheel van de vorderingen van de Partijen en andere</w:t>
      </w:r>
      <w:r>
        <w:t xml:space="preserve"> </w:t>
      </w:r>
      <w:r w:rsidRPr="00B2378D">
        <w:t>Toegangshouders dan wel Distributienetbeheerders, al naargelang het geval, die in hun geheel of hoofdzakelijk</w:t>
      </w:r>
      <w:r>
        <w:t xml:space="preserve"> </w:t>
      </w:r>
      <w:r w:rsidRPr="00B2378D">
        <w:t>gesteund zijn op eenzelfde vastgestelde of vermoede oorzaak. In voorkomend geval zullen de vorderingen van al</w:t>
      </w:r>
      <w:r>
        <w:t xml:space="preserve"> </w:t>
      </w:r>
      <w:r w:rsidRPr="00B2378D">
        <w:t>diegenen die schade geleden hebben en die in hun geheel of hoofdzakelijk gesteund zijn op eenzelfde vastgestelde of</w:t>
      </w:r>
      <w:r>
        <w:t xml:space="preserve"> </w:t>
      </w:r>
      <w:r w:rsidRPr="00B2378D">
        <w:t>vermoede oorzaak naar evenredigheid worden voldaan.</w:t>
      </w:r>
    </w:p>
    <w:p w14:paraId="187DC3A7" w14:textId="77777777" w:rsidR="00B2378D" w:rsidRDefault="00B2378D" w:rsidP="008C0118">
      <w:pPr>
        <w:jc w:val="both"/>
      </w:pPr>
    </w:p>
    <w:p w14:paraId="2BC79E8F" w14:textId="77777777" w:rsidR="00B2378D" w:rsidRPr="00B2378D" w:rsidRDefault="00B2378D" w:rsidP="008C0118">
      <w:pPr>
        <w:jc w:val="both"/>
        <w:rPr>
          <w:b/>
          <w:bCs/>
        </w:rPr>
      </w:pPr>
      <w:r w:rsidRPr="00B2378D">
        <w:rPr>
          <w:b/>
          <w:bCs/>
        </w:rPr>
        <w:t>11.3 Specifieke aansprakelijkheidsregelingen</w:t>
      </w:r>
    </w:p>
    <w:p w14:paraId="241A92F7" w14:textId="77777777" w:rsidR="00B2378D" w:rsidRDefault="00B2378D" w:rsidP="008C0118">
      <w:pPr>
        <w:jc w:val="both"/>
      </w:pPr>
      <w:r>
        <w:t>In afwijking van artikel 11.1 en 11.2 komen Partijen overeen dat schade in hoofde van de Toegangshouder ten gevolge van foutieve, ontbrekende of laattijdige gegevens (artikel 11.3.1), ten gevolge van een langdurige onderbreking van de toegang tot het net (artikel 11.3.2) of ten gevolge van een onrechtmatige opschorting of beëindiging van de Toegang tot het Net (artikel 11.3.3) en schade in hoofde van de Distributienetbeheerder ten gevolge van foutieve of ontbrekende Master Data (artikel 11.3.4), uitsluitend vergoed wordt op basis van de specifieke regelingen zoals opgenomen in de hiervoor vermelde respectievelijke bepalingen.</w:t>
      </w:r>
    </w:p>
    <w:p w14:paraId="2A84DE5B" w14:textId="77777777" w:rsidR="00B2378D" w:rsidRDefault="00B2378D" w:rsidP="008C0118">
      <w:pPr>
        <w:jc w:val="both"/>
      </w:pPr>
      <w:r>
        <w:t xml:space="preserve">Partijen komen overeen dat een specifieke regeling inzake vrijwaring van de Distributienetbeheerder door de Toegangshouder geldt ingeval van </w:t>
      </w:r>
      <w:proofErr w:type="spellStart"/>
      <w:r>
        <w:t>onevenwichten</w:t>
      </w:r>
      <w:proofErr w:type="spellEnd"/>
      <w:r>
        <w:t xml:space="preserve"> (artikel 11.3.5).</w:t>
      </w:r>
    </w:p>
    <w:p w14:paraId="46530D9E" w14:textId="2E04A144" w:rsidR="00B2378D" w:rsidRDefault="00B2378D" w:rsidP="008C0118">
      <w:pPr>
        <w:jc w:val="both"/>
      </w:pPr>
    </w:p>
    <w:p w14:paraId="02AB69CD" w14:textId="77777777" w:rsidR="005570CD" w:rsidRDefault="005570CD" w:rsidP="008C0118">
      <w:pPr>
        <w:jc w:val="both"/>
      </w:pPr>
    </w:p>
    <w:p w14:paraId="7B3E47F4" w14:textId="77777777" w:rsidR="00B2378D" w:rsidRPr="00B2378D" w:rsidRDefault="00B2378D" w:rsidP="008C0118">
      <w:pPr>
        <w:jc w:val="both"/>
        <w:rPr>
          <w:b/>
          <w:bCs/>
          <w:i/>
          <w:iCs/>
        </w:rPr>
      </w:pPr>
      <w:r w:rsidRPr="00B2378D">
        <w:rPr>
          <w:b/>
          <w:bCs/>
          <w:i/>
          <w:iCs/>
        </w:rPr>
        <w:lastRenderedPageBreak/>
        <w:t>11.3.1 Specifieke aansprakelijkheidsregeling ingeval van foutieve, ontbrekende of laattijdige gegevens: forfaitaire vergoeding</w:t>
      </w:r>
    </w:p>
    <w:p w14:paraId="1F5B4884" w14:textId="77777777" w:rsidR="00B2378D" w:rsidRDefault="00B2378D" w:rsidP="008C0118">
      <w:pPr>
        <w:jc w:val="both"/>
      </w:pPr>
      <w:r>
        <w:t>[ aan te vullen ]</w:t>
      </w:r>
    </w:p>
    <w:p w14:paraId="0BF9A096" w14:textId="77777777" w:rsidR="00B2378D" w:rsidRDefault="00B2378D" w:rsidP="008C0118">
      <w:pPr>
        <w:jc w:val="both"/>
      </w:pPr>
    </w:p>
    <w:p w14:paraId="0292498D" w14:textId="77777777" w:rsidR="00B2378D" w:rsidRPr="00B2378D" w:rsidRDefault="00B2378D" w:rsidP="008C0118">
      <w:pPr>
        <w:jc w:val="both"/>
        <w:rPr>
          <w:b/>
          <w:bCs/>
          <w:i/>
          <w:iCs/>
        </w:rPr>
      </w:pPr>
      <w:r w:rsidRPr="00B2378D">
        <w:rPr>
          <w:b/>
          <w:bCs/>
          <w:i/>
          <w:iCs/>
        </w:rPr>
        <w:t>11.3.2 Specifieke aansprakelijkheidsregeling ingeval de toegang tot het net langdurig onderbroken wordt</w:t>
      </w:r>
    </w:p>
    <w:p w14:paraId="411C5C65" w14:textId="77777777" w:rsidR="00B2378D" w:rsidRDefault="00B2378D" w:rsidP="008C0118">
      <w:pPr>
        <w:jc w:val="both"/>
      </w:pPr>
      <w:r>
        <w:t>[ aan te vullen ]</w:t>
      </w:r>
    </w:p>
    <w:p w14:paraId="7811750B" w14:textId="77777777" w:rsidR="00B2378D" w:rsidRDefault="00B2378D" w:rsidP="008C0118">
      <w:pPr>
        <w:jc w:val="both"/>
      </w:pPr>
    </w:p>
    <w:p w14:paraId="50C41C7C" w14:textId="77777777" w:rsidR="00B2378D" w:rsidRPr="00B2378D" w:rsidRDefault="00B2378D" w:rsidP="008C0118">
      <w:pPr>
        <w:jc w:val="both"/>
        <w:rPr>
          <w:b/>
          <w:bCs/>
          <w:i/>
          <w:iCs/>
        </w:rPr>
      </w:pPr>
      <w:r w:rsidRPr="00B2378D">
        <w:rPr>
          <w:b/>
          <w:bCs/>
          <w:i/>
          <w:iCs/>
        </w:rPr>
        <w:t>11.3.3 Specifieke aansprakelijkheidsregeling ingeval van onrechtmatige weigering, opschorting of beëindiging van de Toegang tot het Net</w:t>
      </w:r>
    </w:p>
    <w:p w14:paraId="0E8593B2" w14:textId="77777777" w:rsidR="00B2378D" w:rsidRDefault="00B2378D" w:rsidP="008C0118">
      <w:pPr>
        <w:jc w:val="both"/>
      </w:pPr>
      <w:r>
        <w:t>Ingeval de Toegangshouder aantoont dat de Toegang van de Toegangshouder tot het Net onrechtmatig geweigerd, opgeschort of beëindigd werd door een aan de Distributienetbeheerder toerekenbare zware fout of zware nalatigheid inzake diens verplichtingen tot het verlenen van Toegang tot het Net, zal de Distributienetbeheerder de volledige bewezen rechtstreekse schade verbonden aan deze specifieke zware fout of zware nalatigheid vergoeden, met dien verstande dat indirecte schade, waaronder begrepen wordt (maar niet hiertoe beperkt) reputatieschade, winstderving, inkomstenverlies, gemiste besparingen of financiële schade van derden, in ieder geval niet vergoed wordt.</w:t>
      </w:r>
    </w:p>
    <w:p w14:paraId="357FD48E" w14:textId="77777777" w:rsidR="00B2378D" w:rsidRDefault="00B2378D" w:rsidP="008C0118">
      <w:pPr>
        <w:jc w:val="both"/>
      </w:pPr>
    </w:p>
    <w:p w14:paraId="040A0A9B" w14:textId="77777777" w:rsidR="00B2378D" w:rsidRPr="00B2378D" w:rsidRDefault="00B2378D" w:rsidP="008C0118">
      <w:pPr>
        <w:jc w:val="both"/>
        <w:rPr>
          <w:b/>
          <w:bCs/>
          <w:i/>
          <w:iCs/>
        </w:rPr>
      </w:pPr>
      <w:r w:rsidRPr="00B2378D">
        <w:rPr>
          <w:b/>
          <w:bCs/>
          <w:i/>
          <w:iCs/>
        </w:rPr>
        <w:t>11.3.4 Specifieke aansprakelijkheidsregeling ingeval van foutieve of ontbrekende Master Data</w:t>
      </w:r>
    </w:p>
    <w:p w14:paraId="10458692" w14:textId="77777777" w:rsidR="00B2378D" w:rsidRDefault="00B2378D" w:rsidP="008C0118">
      <w:pPr>
        <w:jc w:val="both"/>
      </w:pPr>
      <w:r>
        <w:t>De aansprakelijkheid van de Toegangshouder inzake Master data is ten aanzien van de Distributienetbeheerder beperkt tot de vergoeding van de bewezen rechtstreekse schade waarvan de Distributienetbeheerder heeft aangetoond dat deze schade het rechtstreekse gevolg is van een aan de Toegangshouder toerekenbare fout of nalatigheid inzake de verplichting tot het verstrekken van Master Data en dit tot een bedrag van maximaal ****** euro.</w:t>
      </w:r>
    </w:p>
    <w:p w14:paraId="56485399" w14:textId="77777777" w:rsidR="00B2378D" w:rsidRDefault="00B2378D" w:rsidP="008C0118">
      <w:pPr>
        <w:jc w:val="both"/>
      </w:pPr>
    </w:p>
    <w:p w14:paraId="2FBBF624" w14:textId="77777777" w:rsidR="00B2378D" w:rsidRPr="00B2378D" w:rsidRDefault="00B2378D" w:rsidP="008C0118">
      <w:pPr>
        <w:jc w:val="both"/>
        <w:rPr>
          <w:b/>
          <w:bCs/>
          <w:i/>
          <w:iCs/>
        </w:rPr>
      </w:pPr>
      <w:r w:rsidRPr="00B2378D">
        <w:rPr>
          <w:b/>
          <w:bCs/>
          <w:i/>
          <w:iCs/>
        </w:rPr>
        <w:t xml:space="preserve">11.3.5 Specifieke vrijwaring door de Toegangshouder ingeval van </w:t>
      </w:r>
      <w:proofErr w:type="spellStart"/>
      <w:r w:rsidRPr="00B2378D">
        <w:rPr>
          <w:b/>
          <w:bCs/>
          <w:i/>
          <w:iCs/>
        </w:rPr>
        <w:t>onevenwichten</w:t>
      </w:r>
      <w:proofErr w:type="spellEnd"/>
    </w:p>
    <w:p w14:paraId="58DE8996" w14:textId="77777777" w:rsidR="00B2378D" w:rsidRDefault="00B2378D" w:rsidP="008C0118">
      <w:pPr>
        <w:jc w:val="both"/>
      </w:pPr>
      <w:r>
        <w:t>De Toegangshouder vrijwaart de Distributienetbeheerder van alle aansprakelijkheid inzake enig onevenwicht op het elektriciteitsnet dat veroorzaakt is door verschillen tussen genomineerde en reële Afnamen of Injecties door de Toegangshouder, behoudens wanneer het onevenwicht op het elektriciteitsnetwerk het gevolg is van een aan de Distributienetbeheerder toerekenbare fout, nalatigheid, opzet of bedrog.</w:t>
      </w:r>
    </w:p>
    <w:p w14:paraId="6C511668" w14:textId="77777777" w:rsidR="00B2378D" w:rsidRDefault="00B2378D" w:rsidP="008C0118">
      <w:pPr>
        <w:jc w:val="both"/>
      </w:pPr>
    </w:p>
    <w:p w14:paraId="7DD58897" w14:textId="77777777" w:rsidR="00B2378D" w:rsidRPr="00B2378D" w:rsidRDefault="00B2378D" w:rsidP="008C0118">
      <w:pPr>
        <w:jc w:val="both"/>
        <w:rPr>
          <w:b/>
          <w:bCs/>
        </w:rPr>
      </w:pPr>
      <w:r w:rsidRPr="00B2378D">
        <w:rPr>
          <w:b/>
          <w:bCs/>
        </w:rPr>
        <w:t xml:space="preserve">11.4 Noodsituatie en overmacht – market </w:t>
      </w:r>
      <w:proofErr w:type="spellStart"/>
      <w:r w:rsidRPr="00B2378D">
        <w:rPr>
          <w:b/>
          <w:bCs/>
        </w:rPr>
        <w:t>interactions</w:t>
      </w:r>
      <w:proofErr w:type="spellEnd"/>
    </w:p>
    <w:p w14:paraId="03E60FF5" w14:textId="77777777" w:rsidR="00B2378D" w:rsidRDefault="00B2378D" w:rsidP="008C0118">
      <w:pPr>
        <w:jc w:val="both"/>
      </w:pPr>
      <w:r>
        <w:t>De Distributienetbeheerder en de Toegangshouder zijn niet aansprakelijk voor schade die het gevolg is van noodsituatie en overmacht zoals beschreven in het Technisch Reglement.</w:t>
      </w:r>
    </w:p>
    <w:p w14:paraId="2BFECA4D" w14:textId="77777777" w:rsidR="00B2378D" w:rsidRDefault="00B2378D" w:rsidP="008C0118">
      <w:pPr>
        <w:jc w:val="both"/>
      </w:pPr>
      <w:r>
        <w:t xml:space="preserve">De Distributienetbeheerder zal in het kader van “market </w:t>
      </w:r>
      <w:proofErr w:type="spellStart"/>
      <w:r>
        <w:t>interactions</w:t>
      </w:r>
      <w:proofErr w:type="spellEnd"/>
      <w:r>
        <w:t xml:space="preserve">”, conform de Europese Netwerk codes </w:t>
      </w:r>
      <w:proofErr w:type="spellStart"/>
      <w:r>
        <w:t>emergency</w:t>
      </w:r>
      <w:proofErr w:type="spellEnd"/>
      <w:r>
        <w:t xml:space="preserve"> </w:t>
      </w:r>
      <w:proofErr w:type="spellStart"/>
      <w:r>
        <w:t>and</w:t>
      </w:r>
      <w:proofErr w:type="spellEnd"/>
      <w:r>
        <w:t xml:space="preserve"> </w:t>
      </w:r>
      <w:proofErr w:type="spellStart"/>
      <w:r>
        <w:t>restauration</w:t>
      </w:r>
      <w:proofErr w:type="spellEnd"/>
      <w:r>
        <w:t xml:space="preserve"> (in noodsituatie), waaronder toepassing van het afschakelplan, gevolg geven aan de door de transmissienetbeheerder opgelegde modaliteiten voor de berekening </w:t>
      </w:r>
      <w:r>
        <w:lastRenderedPageBreak/>
        <w:t>van de allocatievolumes zonder enig recht op vergoeding van schade, kosten of lasten in hoofde van de Toegangshouder en diens evenwichtsverantwoordelijke(n).</w:t>
      </w:r>
    </w:p>
    <w:p w14:paraId="68A3AA76" w14:textId="77777777" w:rsidR="008C0118" w:rsidRDefault="008C0118" w:rsidP="008C0118">
      <w:pPr>
        <w:jc w:val="both"/>
      </w:pPr>
    </w:p>
    <w:p w14:paraId="69CF5D70" w14:textId="77777777" w:rsidR="008C0118" w:rsidRPr="008C0118" w:rsidRDefault="008C0118" w:rsidP="008C0118">
      <w:pPr>
        <w:jc w:val="both"/>
        <w:rPr>
          <w:b/>
          <w:bCs/>
        </w:rPr>
      </w:pPr>
      <w:r w:rsidRPr="008C0118">
        <w:rPr>
          <w:b/>
          <w:bCs/>
        </w:rPr>
        <w:t>11.5 Procedure</w:t>
      </w:r>
    </w:p>
    <w:p w14:paraId="53407318" w14:textId="77777777" w:rsidR="008C0118" w:rsidRDefault="008C0118" w:rsidP="008C0118">
      <w:pPr>
        <w:jc w:val="both"/>
      </w:pPr>
      <w:r>
        <w:t>Als een Partij denkt schade te hebben ondervonden door de andere Partij brengt hij die binnen een redelijke termijn hiervan op de hoogte. In zijn gemotiveerde brief zet hij uiteen waarom hij denkt aanspraak te kunnen maken op een schadevergoeding.</w:t>
      </w:r>
    </w:p>
    <w:p w14:paraId="6A8C3EA7" w14:textId="77777777" w:rsidR="008C0118" w:rsidRDefault="008C0118" w:rsidP="008C0118">
      <w:pPr>
        <w:jc w:val="both"/>
      </w:pPr>
    </w:p>
    <w:p w14:paraId="214C6BD4" w14:textId="77777777" w:rsidR="008C0118" w:rsidRPr="008C0118" w:rsidRDefault="008C0118" w:rsidP="008C0118">
      <w:pPr>
        <w:jc w:val="both"/>
        <w:rPr>
          <w:b/>
          <w:bCs/>
        </w:rPr>
      </w:pPr>
      <w:r w:rsidRPr="008C0118">
        <w:rPr>
          <w:b/>
          <w:bCs/>
        </w:rPr>
        <w:t>11.6 Doorwerking aansprakelijkheidsregeling ten aanzien van de evenwichtsverantwoordelijke</w:t>
      </w:r>
    </w:p>
    <w:p w14:paraId="0BD171B8" w14:textId="77777777" w:rsidR="008C0118" w:rsidRDefault="008C0118" w:rsidP="008C0118">
      <w:pPr>
        <w:jc w:val="both"/>
      </w:pPr>
      <w:r>
        <w:t>De Toegangshouder verbindt zich ertoe de relevante bepalingen van artikel 11 te laten doorwerken in elk met zijn evenwichtsverantwoordelijke af te sluiten contract, door opname van een derdenbeding ten gunste van de Distributienetbeheerder in dergelijke contracten. Op eenvoudig verzoek van de Distributienetbeheerder, zal de Toegangshouder hiervan het bewijs leveren.</w:t>
      </w:r>
    </w:p>
    <w:p w14:paraId="7D04612E" w14:textId="77777777" w:rsidR="008C0118" w:rsidRDefault="008C0118" w:rsidP="008C0118">
      <w:pPr>
        <w:jc w:val="both"/>
      </w:pPr>
      <w:r>
        <w:t>De Toegangshouder vrijwaart de Distributienetbeheerder van enige vordering die het gevolg is van een niet-aanvaarding of niet-naleving door de evenwichtsverantwoordelijke(n) van de bepalingen van dit artikel 11.</w:t>
      </w:r>
    </w:p>
    <w:p w14:paraId="2C110A8A" w14:textId="77777777" w:rsidR="008C0118" w:rsidRDefault="008C0118" w:rsidP="008C0118">
      <w:pPr>
        <w:jc w:val="both"/>
      </w:pPr>
    </w:p>
    <w:p w14:paraId="24CE081B" w14:textId="77777777" w:rsidR="008C0118" w:rsidRPr="008C0118" w:rsidRDefault="008C0118" w:rsidP="008C0118">
      <w:pPr>
        <w:jc w:val="both"/>
        <w:rPr>
          <w:b/>
          <w:bCs/>
        </w:rPr>
      </w:pPr>
      <w:r w:rsidRPr="008C0118">
        <w:rPr>
          <w:b/>
          <w:bCs/>
        </w:rPr>
        <w:t>11.7 Schade van de Elektriciteitsdistributienetgebruiker</w:t>
      </w:r>
    </w:p>
    <w:p w14:paraId="0F19C196" w14:textId="77777777" w:rsidR="008C0118" w:rsidRDefault="008C0118" w:rsidP="008C0118">
      <w:pPr>
        <w:jc w:val="both"/>
      </w:pPr>
      <w:r>
        <w:t>Indien de Toegangshouder kennis neemt van een schadeclaim van een Elektriciteitsdistributienetgebruiker waarvan de oorzaak een fout van de Distributienetbeheerder is, zal de Toegangshouder de Elektriciteitsdistributienetgebruiker verzoeken deze claim over te maken aan de Distributienetbeheerder. In voorkomend geval zal de Distributienetbeheerder de claim rechtstreeks met de Elektriciteitsdistributienetgebruiker afhandelen.</w:t>
      </w:r>
    </w:p>
    <w:p w14:paraId="6A245FCC" w14:textId="77777777" w:rsidR="008C0118" w:rsidRDefault="008C0118" w:rsidP="008C0118">
      <w:pPr>
        <w:jc w:val="both"/>
      </w:pPr>
      <w:r>
        <w:t>Indien de Distributienetbeheerder vaststelt dat de schade die de Elektriciteitsdistributienetgebruiker heeft opgelopen haar oorsprong vindt in een fout of nalatigheid van een andere Distributienetbeheerder of van de transmissienetbeheerder, dan zal de Distributienetbeheerder de zaak zelf afhandelen met de Eindafnemer of Elektriciteitsdistributienetgebruiker.</w:t>
      </w:r>
    </w:p>
    <w:p w14:paraId="107BF9D1" w14:textId="77777777" w:rsidR="008C0118" w:rsidRDefault="008C0118" w:rsidP="008C0118">
      <w:pPr>
        <w:jc w:val="both"/>
      </w:pPr>
      <w:r>
        <w:t>In alle andere gevallen zal de Toegangshouder de claim van de Eindafnemer of Elektriciteitsdistributienetgebruiker zelf afhandelen.</w:t>
      </w:r>
    </w:p>
    <w:p w14:paraId="7F2B7F32" w14:textId="77777777" w:rsidR="008C0118" w:rsidRDefault="008C0118" w:rsidP="008C0118">
      <w:pPr>
        <w:jc w:val="both"/>
      </w:pPr>
    </w:p>
    <w:p w14:paraId="42BB8AD0" w14:textId="77777777" w:rsidR="008C0118" w:rsidRDefault="008C0118" w:rsidP="008C0118">
      <w:pPr>
        <w:jc w:val="both"/>
      </w:pPr>
    </w:p>
    <w:sectPr w:rsidR="008C01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23731"/>
    <w:multiLevelType w:val="hybridMultilevel"/>
    <w:tmpl w:val="07A464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78D"/>
    <w:rsid w:val="001D6A69"/>
    <w:rsid w:val="005570CD"/>
    <w:rsid w:val="008C0118"/>
    <w:rsid w:val="00B2378D"/>
    <w:rsid w:val="00F45C8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B68A9"/>
  <w15:chartTrackingRefBased/>
  <w15:docId w15:val="{AB4CE017-BF27-4F92-9933-074BB82C1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237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1F1F480938F44CBB852D25EBC315D4" ma:contentTypeVersion="12" ma:contentTypeDescription="Create a new document." ma:contentTypeScope="" ma:versionID="9a56063aa3bd3e2b36d4e453218061ff">
  <xsd:schema xmlns:xsd="http://www.w3.org/2001/XMLSchema" xmlns:xs="http://www.w3.org/2001/XMLSchema" xmlns:p="http://schemas.microsoft.com/office/2006/metadata/properties" xmlns:ns3="fadf569b-247d-4f62-99e2-264a9d15c1a3" xmlns:ns4="a63e8fb3-e9c6-4b6e-8537-d3168c998a94" targetNamespace="http://schemas.microsoft.com/office/2006/metadata/properties" ma:root="true" ma:fieldsID="7059cce4be0ec8394bf81b1c42ddf743" ns3:_="" ns4:_="">
    <xsd:import namespace="fadf569b-247d-4f62-99e2-264a9d15c1a3"/>
    <xsd:import namespace="a63e8fb3-e9c6-4b6e-8537-d3168c998a9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f569b-247d-4f62-99e2-264a9d15c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3e8fb3-e9c6-4b6e-8537-d3168c998a9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A44372-6175-4852-82FA-8AB41F8657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495A8C-9B80-43BF-8F47-9EC92B71CFFA}">
  <ds:schemaRefs>
    <ds:schemaRef ds:uri="http://schemas.microsoft.com/sharepoint/v3/contenttype/forms"/>
  </ds:schemaRefs>
</ds:datastoreItem>
</file>

<file path=customXml/itemProps3.xml><?xml version="1.0" encoding="utf-8"?>
<ds:datastoreItem xmlns:ds="http://schemas.openxmlformats.org/officeDocument/2006/customXml" ds:itemID="{EE338C45-AA44-497E-A664-58086555C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f569b-247d-4f62-99e2-264a9d15c1a3"/>
    <ds:schemaRef ds:uri="a63e8fb3-e9c6-4b6e-8537-d3168c998a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1144</Words>
  <Characters>6294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Cousy Filip</dc:creator>
  <cp:keywords/>
  <dc:description/>
  <cp:lastModifiedBy>Motmans Peter</cp:lastModifiedBy>
  <cp:revision>2</cp:revision>
  <dcterms:created xsi:type="dcterms:W3CDTF">2020-12-21T10:36:00Z</dcterms:created>
  <dcterms:modified xsi:type="dcterms:W3CDTF">2020-12-22T08:17:00Z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0x010100DE1F1F480938F44CBB852D25EBC315D4</vt:lpwstr>
  </property>
</Properties>
</file>